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6"/>
          <w:szCs w:val="36"/>
        </w:rPr>
      </w:pPr>
      <w:r>
        <w:rPr>
          <w:rFonts w:hint="eastAsia" w:ascii="黑体" w:hAnsi="黑体" w:eastAsia="黑体" w:cs="黑体"/>
          <w:sz w:val="36"/>
          <w:szCs w:val="36"/>
        </w:rPr>
        <w:t>关于进一步明确债券评级信息披露规范的通知</w:t>
      </w:r>
    </w:p>
    <w:p>
      <w:pPr>
        <w:jc w:val="center"/>
        <w:rPr>
          <w:rFonts w:hint="eastAsia" w:ascii="仿宋" w:hAnsi="仿宋" w:eastAsia="仿宋" w:cs="仿宋"/>
          <w:sz w:val="24"/>
          <w:szCs w:val="24"/>
        </w:rPr>
      </w:pPr>
      <w:r>
        <w:rPr>
          <w:rFonts w:hint="eastAsia" w:ascii="仿宋" w:hAnsi="仿宋" w:eastAsia="仿宋" w:cs="仿宋"/>
          <w:sz w:val="24"/>
          <w:szCs w:val="24"/>
        </w:rPr>
        <w:t>中证协发〔2015〕7号</w:t>
      </w:r>
    </w:p>
    <w:p>
      <w:pPr>
        <w:rPr>
          <w:rFonts w:hint="eastAsia" w:ascii="仿宋" w:hAnsi="仿宋" w:eastAsia="仿宋" w:cs="仿宋"/>
          <w:sz w:val="30"/>
          <w:szCs w:val="30"/>
        </w:rPr>
      </w:pPr>
    </w:p>
    <w:p>
      <w:pPr>
        <w:rPr>
          <w:rFonts w:hint="eastAsia" w:ascii="仿宋" w:hAnsi="仿宋" w:eastAsia="仿宋" w:cs="仿宋"/>
          <w:sz w:val="30"/>
          <w:szCs w:val="30"/>
        </w:rPr>
      </w:pPr>
      <w:r>
        <w:rPr>
          <w:rFonts w:hint="eastAsia" w:ascii="仿宋" w:hAnsi="仿宋" w:eastAsia="仿宋" w:cs="仿宋"/>
          <w:sz w:val="30"/>
          <w:szCs w:val="30"/>
        </w:rPr>
        <w:t>各证券市场资信评级机构：</w:t>
      </w:r>
    </w:p>
    <w:p>
      <w:pPr>
        <w:rPr>
          <w:rFonts w:hint="eastAsia" w:ascii="仿宋" w:hAnsi="仿宋" w:eastAsia="仿宋" w:cs="仿宋"/>
          <w:sz w:val="30"/>
          <w:szCs w:val="30"/>
        </w:rPr>
      </w:pPr>
      <w:r>
        <w:rPr>
          <w:rFonts w:hint="eastAsia" w:ascii="仿宋" w:hAnsi="仿宋" w:eastAsia="仿宋" w:cs="仿宋"/>
          <w:sz w:val="30"/>
          <w:szCs w:val="30"/>
        </w:rPr>
        <w:t>　　为方便投资者和其他市场主体及时获取债券评级信息，保护投资者合法权益，根据《证券法》、《证券市场资信评级业务管理暂行办法》（以下简称《评级办法》）、《证券资信评级机构执业行为准则》（以下简称《执业准则》），以及证券交易所公司债券上市规则等相关规定，中国证券业协会、上海证券交易所及深圳证券交易所（以下简称“协会与交易所”）现就交易所上市交易及转让的债券、资产支持证券以及其他固定收益或者债务型结构性融资证券（以下统称“债券”）的资信评级业务信息披露有关问题联合通知如下：</w:t>
      </w:r>
    </w:p>
    <w:p>
      <w:pPr>
        <w:rPr>
          <w:rFonts w:hint="eastAsia" w:ascii="仿宋" w:hAnsi="仿宋" w:eastAsia="仿宋" w:cs="仿宋"/>
          <w:sz w:val="30"/>
          <w:szCs w:val="30"/>
        </w:rPr>
      </w:pPr>
      <w:r>
        <w:rPr>
          <w:rFonts w:hint="eastAsia" w:ascii="仿宋" w:hAnsi="仿宋" w:eastAsia="仿宋" w:cs="仿宋"/>
          <w:sz w:val="30"/>
          <w:szCs w:val="30"/>
        </w:rPr>
        <w:t>　　一、 资信评级机构应当按照《评级办法》、《执业准则》的规定和有关合同约定，做好评级对象的首次评级和持续跟踪工作，及时出具定期及不定期跟踪评级报告，并督促发行人及时披露。</w:t>
      </w:r>
    </w:p>
    <w:p>
      <w:pPr>
        <w:rPr>
          <w:rFonts w:hint="eastAsia" w:ascii="仿宋" w:hAnsi="仿宋" w:eastAsia="仿宋" w:cs="仿宋"/>
          <w:sz w:val="30"/>
          <w:szCs w:val="30"/>
        </w:rPr>
      </w:pPr>
      <w:r>
        <w:rPr>
          <w:rFonts w:hint="eastAsia" w:ascii="仿宋" w:hAnsi="仿宋" w:eastAsia="仿宋" w:cs="仿宋"/>
          <w:sz w:val="30"/>
          <w:szCs w:val="30"/>
        </w:rPr>
        <w:t>　　二、 资信评级机构对在交易所上市交易及转让债券的跟踪评级信息负有披露义务。资信评级机构出具跟踪评级报告等评级信息后，应当在向发行人提交的同时报送交易所，并通过证券业协会、交易所、资信评级机构及中国证监会指定的其他网站披露跟踪信用评级信息。跟踪评级信息涉及上市公司，而上市公司未及时披露的，资信评级机构应当在向发行人提交之日起的第三个交易日通过证券业协会、交易所、资信评级机构及中国证监会指定的其他网站披露。评级信息在其他渠道发布的，不得早于上述规定网站的发布时间。</w:t>
      </w:r>
    </w:p>
    <w:p>
      <w:pPr>
        <w:rPr>
          <w:rFonts w:hint="eastAsia" w:ascii="仿宋" w:hAnsi="仿宋" w:eastAsia="仿宋" w:cs="仿宋"/>
          <w:sz w:val="30"/>
          <w:szCs w:val="30"/>
        </w:rPr>
      </w:pPr>
      <w:r>
        <w:rPr>
          <w:rFonts w:hint="eastAsia" w:ascii="仿宋" w:hAnsi="仿宋" w:eastAsia="仿宋" w:cs="仿宋"/>
          <w:sz w:val="30"/>
          <w:szCs w:val="30"/>
        </w:rPr>
        <w:t>　　三、 资信评级机构应当指定专人负责跟踪评级信息的披露工作。</w:t>
      </w:r>
    </w:p>
    <w:p>
      <w:pPr>
        <w:rPr>
          <w:rFonts w:hint="eastAsia" w:ascii="仿宋" w:hAnsi="仿宋" w:eastAsia="仿宋" w:cs="仿宋"/>
          <w:sz w:val="30"/>
          <w:szCs w:val="30"/>
        </w:rPr>
      </w:pPr>
      <w:r>
        <w:rPr>
          <w:rFonts w:hint="eastAsia" w:ascii="仿宋" w:hAnsi="仿宋" w:eastAsia="仿宋" w:cs="仿宋"/>
          <w:sz w:val="30"/>
          <w:szCs w:val="30"/>
        </w:rPr>
        <w:t>　　四、 评级信息应当在非交易时间披露，在评级信息披露前，除用于监管部门指定用途、评级业务委托书中约定用途、发行人自行使用外，资信评级机构对相关信息负有保密义务。</w:t>
      </w:r>
    </w:p>
    <w:p>
      <w:pPr>
        <w:rPr>
          <w:rFonts w:hint="eastAsia" w:ascii="仿宋" w:hAnsi="仿宋" w:eastAsia="仿宋" w:cs="仿宋"/>
          <w:sz w:val="30"/>
          <w:szCs w:val="30"/>
        </w:rPr>
      </w:pPr>
      <w:r>
        <w:rPr>
          <w:rFonts w:hint="eastAsia" w:ascii="仿宋" w:hAnsi="仿宋" w:eastAsia="仿宋" w:cs="仿宋"/>
          <w:sz w:val="30"/>
          <w:szCs w:val="30"/>
        </w:rPr>
        <w:t>　　五、 资信评级机构对非公开发行债券评级，应当按照评级业务委托书的约定，决定是否披露评级信息以及披露的时间、地点和方式。</w:t>
      </w:r>
    </w:p>
    <w:p>
      <w:pPr>
        <w:rPr>
          <w:rFonts w:hint="eastAsia" w:ascii="仿宋" w:hAnsi="仿宋" w:eastAsia="仿宋" w:cs="仿宋"/>
          <w:sz w:val="30"/>
          <w:szCs w:val="30"/>
        </w:rPr>
      </w:pPr>
      <w:r>
        <w:rPr>
          <w:rFonts w:hint="eastAsia" w:ascii="仿宋" w:hAnsi="仿宋" w:eastAsia="仿宋" w:cs="仿宋"/>
          <w:sz w:val="30"/>
          <w:szCs w:val="30"/>
        </w:rPr>
        <w:t>　　六、 评级信息正式披露前相关债券价格存在异常波动的，协会与交易所将对相关债券交易情况进行核查，发现涉嫌内幕交易的，将上报中国证监会查处。</w:t>
      </w:r>
    </w:p>
    <w:p>
      <w:pPr>
        <w:rPr>
          <w:rFonts w:hint="eastAsia" w:ascii="仿宋" w:hAnsi="仿宋" w:eastAsia="仿宋" w:cs="仿宋"/>
          <w:sz w:val="30"/>
          <w:szCs w:val="30"/>
        </w:rPr>
      </w:pPr>
      <w:r>
        <w:rPr>
          <w:rFonts w:hint="eastAsia" w:ascii="仿宋" w:hAnsi="仿宋" w:eastAsia="仿宋" w:cs="仿宋"/>
          <w:sz w:val="30"/>
          <w:szCs w:val="30"/>
        </w:rPr>
        <w:t>　　七、 资信评级机构未按规定履行信息披露义务的，协会与交易所将依据自律监管规则采取监管措施或者纪律处分。</w:t>
      </w:r>
    </w:p>
    <w:p>
      <w:pPr>
        <w:ind w:firstLine="600"/>
        <w:rPr>
          <w:rFonts w:hint="eastAsia" w:ascii="仿宋" w:hAnsi="仿宋" w:eastAsia="仿宋" w:cs="仿宋"/>
          <w:sz w:val="30"/>
          <w:szCs w:val="30"/>
        </w:rPr>
      </w:pPr>
      <w:r>
        <w:rPr>
          <w:rFonts w:hint="eastAsia" w:ascii="仿宋" w:hAnsi="仿宋" w:eastAsia="仿宋" w:cs="仿宋"/>
          <w:sz w:val="30"/>
          <w:szCs w:val="30"/>
        </w:rPr>
        <w:t>特此通知。</w:t>
      </w:r>
    </w:p>
    <w:p>
      <w:pPr>
        <w:ind w:firstLine="600"/>
        <w:rPr>
          <w:rFonts w:hint="eastAsia" w:ascii="仿宋" w:hAnsi="仿宋" w:eastAsia="仿宋" w:cs="仿宋"/>
          <w:sz w:val="30"/>
          <w:szCs w:val="30"/>
        </w:rPr>
      </w:pPr>
      <w:bookmarkStart w:id="0" w:name="_GoBack"/>
      <w:bookmarkEnd w:id="0"/>
    </w:p>
    <w:p>
      <w:pPr>
        <w:jc w:val="right"/>
        <w:rPr>
          <w:rFonts w:hint="eastAsia" w:ascii="仿宋" w:hAnsi="仿宋" w:eastAsia="仿宋" w:cs="仿宋"/>
          <w:sz w:val="30"/>
          <w:szCs w:val="30"/>
        </w:rPr>
      </w:pPr>
      <w:r>
        <w:rPr>
          <w:rFonts w:hint="eastAsia" w:ascii="仿宋" w:hAnsi="仿宋" w:eastAsia="仿宋" w:cs="仿宋"/>
          <w:sz w:val="30"/>
          <w:szCs w:val="30"/>
        </w:rPr>
        <w:t>　　中国证券业协会</w:t>
      </w:r>
    </w:p>
    <w:p>
      <w:pPr>
        <w:jc w:val="right"/>
        <w:rPr>
          <w:rFonts w:hint="eastAsia" w:ascii="仿宋" w:hAnsi="仿宋" w:eastAsia="仿宋" w:cs="仿宋"/>
          <w:sz w:val="30"/>
          <w:szCs w:val="30"/>
        </w:rPr>
      </w:pPr>
      <w:r>
        <w:rPr>
          <w:rFonts w:hint="eastAsia" w:ascii="仿宋" w:hAnsi="仿宋" w:eastAsia="仿宋" w:cs="仿宋"/>
          <w:sz w:val="30"/>
          <w:szCs w:val="30"/>
        </w:rPr>
        <w:t>　　上海证券交易所</w:t>
      </w:r>
    </w:p>
    <w:p>
      <w:pPr>
        <w:jc w:val="right"/>
        <w:rPr>
          <w:rFonts w:hint="eastAsia" w:ascii="仿宋" w:hAnsi="仿宋" w:eastAsia="仿宋" w:cs="仿宋"/>
          <w:sz w:val="30"/>
          <w:szCs w:val="30"/>
        </w:rPr>
      </w:pPr>
      <w:r>
        <w:rPr>
          <w:rFonts w:hint="eastAsia" w:ascii="仿宋" w:hAnsi="仿宋" w:eastAsia="仿宋" w:cs="仿宋"/>
          <w:sz w:val="30"/>
          <w:szCs w:val="30"/>
        </w:rPr>
        <w:t>　　深圳证券交易所</w:t>
      </w:r>
    </w:p>
    <w:p>
      <w:pPr>
        <w:jc w:val="right"/>
        <w:rPr>
          <w:rFonts w:hint="eastAsia" w:ascii="仿宋" w:hAnsi="仿宋" w:eastAsia="仿宋" w:cs="仿宋"/>
          <w:sz w:val="30"/>
          <w:szCs w:val="30"/>
        </w:rPr>
      </w:pPr>
      <w:r>
        <w:rPr>
          <w:rFonts w:hint="eastAsia" w:ascii="仿宋" w:hAnsi="仿宋" w:eastAsia="仿宋" w:cs="仿宋"/>
          <w:sz w:val="30"/>
          <w:szCs w:val="30"/>
        </w:rPr>
        <w:t>　　2015年1月16日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C6C16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2018-01-04T08:03:04Z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